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37033474"/>
        <w:docPartObj>
          <w:docPartGallery w:val="Cover Pages"/>
          <w:docPartUnique/>
        </w:docPartObj>
      </w:sdtPr>
      <w:sdtEndPr>
        <w:rPr>
          <w:b/>
          <w:sz w:val="32"/>
          <w:szCs w:val="32"/>
        </w:rPr>
      </w:sdtEndPr>
      <w:sdtContent>
        <w:p w14:paraId="1EBD9FEA" w14:textId="09B9B099" w:rsidR="00D2068E" w:rsidRDefault="00D2068E">
          <w:r>
            <w:rPr>
              <w:noProof/>
            </w:rPr>
            <mc:AlternateContent>
              <mc:Choice Requires="wps">
                <w:drawing>
                  <wp:anchor distT="0" distB="0" distL="114300" distR="114300" simplePos="0" relativeHeight="251659264" behindDoc="1" locked="0" layoutInCell="1" allowOverlap="0" wp14:anchorId="6BAC8682" wp14:editId="57B5261D">
                    <wp:simplePos x="0" y="0"/>
                    <wp:positionH relativeFrom="page">
                      <wp:posOffset>3972</wp:posOffset>
                    </wp:positionH>
                    <wp:positionV relativeFrom="page">
                      <wp:posOffset>0</wp:posOffset>
                    </wp:positionV>
                    <wp:extent cx="7513092" cy="10672549"/>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7513092" cy="10672549"/>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8" w:type="pct"/>
                                  <w:tblCellMar>
                                    <w:left w:w="0" w:type="dxa"/>
                                    <w:right w:w="0" w:type="dxa"/>
                                  </w:tblCellMar>
                                  <w:tblLook w:val="04A0" w:firstRow="1" w:lastRow="0" w:firstColumn="1" w:lastColumn="0" w:noHBand="0" w:noVBand="1"/>
                                  <w:tblDescription w:val="Cover page layout"/>
                                </w:tblPr>
                                <w:tblGrid>
                                  <w:gridCol w:w="11880"/>
                                </w:tblGrid>
                                <w:tr w:rsidR="00E5257D" w14:paraId="4DBE5E19" w14:textId="77777777" w:rsidTr="00C42914">
                                  <w:trPr>
                                    <w:trHeight w:hRule="exact" w:val="10065"/>
                                  </w:trPr>
                                  <w:tc>
                                    <w:tcPr>
                                      <w:tcW w:w="10800" w:type="dxa"/>
                                      <w:shd w:val="clear" w:color="auto" w:fill="FFFFFF" w:themeFill="background1"/>
                                      <w:vAlign w:val="center"/>
                                    </w:tcPr>
                                    <w:p w14:paraId="61492286" w14:textId="7F5151D4" w:rsidR="00D2068E" w:rsidRDefault="00630C65" w:rsidP="00C42914">
                                      <w:r>
                                        <w:rPr>
                                          <w:noProof/>
                                        </w:rPr>
                                        <w:drawing>
                                          <wp:inline distT="0" distB="0" distL="0" distR="0" wp14:anchorId="6DBD1D29" wp14:editId="47241D1E">
                                            <wp:extent cx="7543800" cy="6829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43800" cy="6829425"/>
                                                    </a:xfrm>
                                                    <a:prstGeom prst="rect">
                                                      <a:avLst/>
                                                    </a:prstGeom>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16AE68DC"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962C54">
                                        <w:rPr>
                                          <w:b/>
                                          <w:color w:val="12484E"/>
                                          <w:sz w:val="72"/>
                                          <w:szCs w:val="32"/>
                                        </w:rPr>
                                        <w:t>Inclusive Employment Defined</w:t>
                                      </w:r>
                                    </w:p>
                                    <w:p w14:paraId="5B5B3791" w14:textId="3BD31522" w:rsidR="00004779" w:rsidRDefault="004D0166" w:rsidP="00004779">
                                      <w:pPr>
                                        <w:pStyle w:val="NoSpacing"/>
                                        <w:spacing w:before="240"/>
                                        <w:ind w:left="720" w:right="720"/>
                                        <w:rPr>
                                          <w:sz w:val="32"/>
                                          <w:szCs w:val="32"/>
                                        </w:rPr>
                                      </w:pPr>
                                      <w:r>
                                        <w:rPr>
                                          <w:b/>
                                          <w:color w:val="00857E" w:themeColor="accent1"/>
                                          <w:sz w:val="28"/>
                                          <w:szCs w:val="28"/>
                                        </w:rPr>
                                        <w:t xml:space="preserve">GROW Gippsland </w:t>
                                      </w:r>
                                      <w:r w:rsidR="00815D22">
                                        <w:rPr>
                                          <w:b/>
                                          <w:color w:val="00857E" w:themeColor="accent1"/>
                                          <w:sz w:val="28"/>
                                          <w:szCs w:val="28"/>
                                        </w:rPr>
                                        <w:t>Inclusive Employment</w:t>
                                      </w:r>
                                      <w:r>
                                        <w:rPr>
                                          <w:b/>
                                          <w:color w:val="00857E" w:themeColor="accent1"/>
                                          <w:sz w:val="28"/>
                                          <w:szCs w:val="28"/>
                                        </w:rPr>
                                        <w:t xml:space="preserve"> Toolkit</w:t>
                                      </w: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6AE4389C" w:rsidR="00293879" w:rsidRPr="00004779" w:rsidRDefault="00815D22" w:rsidP="00004779">
                                      <w:pPr>
                                        <w:pStyle w:val="NoSpacing"/>
                                        <w:spacing w:before="240"/>
                                        <w:ind w:left="720" w:right="720"/>
                                        <w:rPr>
                                          <w:sz w:val="40"/>
                                          <w:szCs w:val="32"/>
                                        </w:rPr>
                                      </w:pPr>
                                      <w:r>
                                        <w:rPr>
                                          <w:color w:val="595959" w:themeColor="text1" w:themeTint="A6"/>
                                          <w:sz w:val="32"/>
                                          <w:szCs w:val="32"/>
                                        </w:rPr>
                                        <w:t>January 2020</w:t>
                                      </w:r>
                                    </w:p>
                                  </w:tc>
                                </w:tr>
                              </w:tbl>
                              <w:p w14:paraId="1A444A08" w14:textId="79FF6A01" w:rsidR="00D2068E" w:rsidRDefault="00D2068E" w:rsidP="00293879">
                                <w:pPr>
                                  <w:shd w:val="clear" w:color="auto" w:fill="24909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AC8682" id="_x0000_t202" coordsize="21600,21600" o:spt="202" path="m,l,21600r21600,l21600,xe">
                    <v:stroke joinstyle="miter"/>
                    <v:path gradientshapeok="t" o:connecttype="rect"/>
                  </v:shapetype>
                  <v:shape id="Text Box 1" o:spid="_x0000_s1026" type="#_x0000_t202" alt="Cover page layout" style="position:absolute;margin-left:.3pt;margin-top:0;width:591.6pt;height:840.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" o:allowoverlap="f" fillcolor="#f2f2f2 [3052]" stroked="f" strokeweight=".5pt">
                    <v:textbox inset="0,0,0,0">
                      <w:txbxContent>
                        <w:tbl>
                          <w:tblPr>
                            <w:tblW w:w="4998" w:type="pct"/>
                            <w:tblCellMar>
                              <w:left w:w="0" w:type="dxa"/>
                              <w:right w:w="0" w:type="dxa"/>
                            </w:tblCellMar>
                            <w:tblLook w:val="04A0" w:firstRow="1" w:lastRow="0" w:firstColumn="1" w:lastColumn="0" w:noHBand="0" w:noVBand="1"/>
                            <w:tblDescription w:val="Cover page layout"/>
                          </w:tblPr>
                          <w:tblGrid>
                            <w:gridCol w:w="11880"/>
                          </w:tblGrid>
                          <w:tr w:rsidR="00E5257D" w14:paraId="4DBE5E19" w14:textId="77777777" w:rsidTr="00C42914">
                            <w:trPr>
                              <w:trHeight w:hRule="exact" w:val="10065"/>
                            </w:trPr>
                            <w:tc>
                              <w:tcPr>
                                <w:tcW w:w="10800" w:type="dxa"/>
                                <w:shd w:val="clear" w:color="auto" w:fill="FFFFFF" w:themeFill="background1"/>
                                <w:vAlign w:val="center"/>
                              </w:tcPr>
                              <w:p w14:paraId="61492286" w14:textId="7F5151D4" w:rsidR="00D2068E" w:rsidRDefault="00630C65" w:rsidP="00C42914">
                                <w:r>
                                  <w:rPr>
                                    <w:noProof/>
                                  </w:rPr>
                                  <w:drawing>
                                    <wp:inline distT="0" distB="0" distL="0" distR="0" wp14:anchorId="6DBD1D29" wp14:editId="47241D1E">
                                      <wp:extent cx="7543800" cy="6829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43800" cy="6829425"/>
                                              </a:xfrm>
                                              <a:prstGeom prst="rect">
                                                <a:avLst/>
                                              </a:prstGeom>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16AE68DC"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962C54">
                                  <w:rPr>
                                    <w:b/>
                                    <w:color w:val="12484E"/>
                                    <w:sz w:val="72"/>
                                    <w:szCs w:val="32"/>
                                  </w:rPr>
                                  <w:t>Inclusive Employment Defined</w:t>
                                </w:r>
                              </w:p>
                              <w:p w14:paraId="5B5B3791" w14:textId="3BD31522" w:rsidR="00004779" w:rsidRDefault="004D0166" w:rsidP="00004779">
                                <w:pPr>
                                  <w:pStyle w:val="NoSpacing"/>
                                  <w:spacing w:before="240"/>
                                  <w:ind w:left="720" w:right="720"/>
                                  <w:rPr>
                                    <w:sz w:val="32"/>
                                    <w:szCs w:val="32"/>
                                  </w:rPr>
                                </w:pPr>
                                <w:r>
                                  <w:rPr>
                                    <w:b/>
                                    <w:color w:val="00857E" w:themeColor="accent1"/>
                                    <w:sz w:val="28"/>
                                    <w:szCs w:val="28"/>
                                  </w:rPr>
                                  <w:t xml:space="preserve">GROW Gippsland </w:t>
                                </w:r>
                                <w:r w:rsidR="00815D22">
                                  <w:rPr>
                                    <w:b/>
                                    <w:color w:val="00857E" w:themeColor="accent1"/>
                                    <w:sz w:val="28"/>
                                    <w:szCs w:val="28"/>
                                  </w:rPr>
                                  <w:t>Inclusive Employment</w:t>
                                </w:r>
                                <w:r>
                                  <w:rPr>
                                    <w:b/>
                                    <w:color w:val="00857E" w:themeColor="accent1"/>
                                    <w:sz w:val="28"/>
                                    <w:szCs w:val="28"/>
                                  </w:rPr>
                                  <w:t xml:space="preserve"> Toolkit</w:t>
                                </w: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6AE4389C" w:rsidR="00293879" w:rsidRPr="00004779" w:rsidRDefault="00815D22" w:rsidP="00004779">
                                <w:pPr>
                                  <w:pStyle w:val="NoSpacing"/>
                                  <w:spacing w:before="240"/>
                                  <w:ind w:left="720" w:right="720"/>
                                  <w:rPr>
                                    <w:sz w:val="40"/>
                                    <w:szCs w:val="32"/>
                                  </w:rPr>
                                </w:pPr>
                                <w:r>
                                  <w:rPr>
                                    <w:color w:val="595959" w:themeColor="text1" w:themeTint="A6"/>
                                    <w:sz w:val="32"/>
                                    <w:szCs w:val="32"/>
                                  </w:rPr>
                                  <w:t>January 2020</w:t>
                                </w:r>
                              </w:p>
                            </w:tc>
                          </w:tr>
                        </w:tbl>
                        <w:p w14:paraId="1A444A08" w14:textId="79FF6A01" w:rsidR="00D2068E" w:rsidRDefault="00D2068E" w:rsidP="00293879">
                          <w:pPr>
                            <w:shd w:val="clear" w:color="auto" w:fill="24909B"/>
                          </w:pPr>
                        </w:p>
                      </w:txbxContent>
                    </v:textbox>
                    <w10:wrap anchorx="page" anchory="page"/>
                  </v:shape>
                </w:pict>
              </mc:Fallback>
            </mc:AlternateContent>
          </w:r>
        </w:p>
        <w:p w14:paraId="694A4515" w14:textId="0F74AA65" w:rsidR="00D2068E" w:rsidRDefault="00D2068E">
          <w:pPr>
            <w:rPr>
              <w:b/>
              <w:sz w:val="32"/>
              <w:szCs w:val="32"/>
            </w:rPr>
          </w:pPr>
          <w:r>
            <w:rPr>
              <w:b/>
              <w:sz w:val="32"/>
              <w:szCs w:val="32"/>
            </w:rPr>
            <w:br w:type="page"/>
          </w:r>
        </w:p>
      </w:sdtContent>
    </w:sdt>
    <w:p w14:paraId="55212B53" w14:textId="77777777" w:rsidR="00AB7D87" w:rsidRPr="00962C54" w:rsidRDefault="00B0201B" w:rsidP="00AB7D87">
      <w:pPr>
        <w:pStyle w:val="Heading3"/>
        <w:rPr>
          <w:b/>
          <w:bCs/>
          <w:lang w:eastAsia="en-AU"/>
        </w:rPr>
      </w:pPr>
      <w:r w:rsidRPr="00962C54">
        <w:rPr>
          <w:b/>
          <w:bCs/>
          <w:lang w:eastAsia="en-AU"/>
        </w:rPr>
        <w:lastRenderedPageBreak/>
        <w:t>GROW Gippsland</w:t>
      </w:r>
      <w:r w:rsidR="0065550F" w:rsidRPr="00962C54">
        <w:rPr>
          <w:b/>
          <w:bCs/>
          <w:lang w:eastAsia="en-AU"/>
        </w:rPr>
        <w:t xml:space="preserve"> – Supporting Inclusive Employment</w:t>
      </w:r>
    </w:p>
    <w:p w14:paraId="76E36169" w14:textId="7488023D" w:rsidR="006159BB" w:rsidRDefault="0065550F" w:rsidP="00AB7D87">
      <w:pPr>
        <w:rPr>
          <w:lang w:eastAsia="en-AU"/>
        </w:rPr>
      </w:pPr>
      <w:r>
        <w:rPr>
          <w:lang w:eastAsia="en-AU"/>
        </w:rPr>
        <w:br/>
      </w:r>
      <w:r w:rsidR="00147665" w:rsidRPr="00147665">
        <w:rPr>
          <w:lang w:eastAsia="en-AU"/>
        </w:rPr>
        <w:t>GROW Gippsland seeks to make a positive social impact by maximising opportunities for those who may otherwise have barriers to finding work.</w:t>
      </w:r>
    </w:p>
    <w:p w14:paraId="61A4DDB4" w14:textId="77777777" w:rsidR="006159BB" w:rsidRDefault="00147665" w:rsidP="00AB7D87">
      <w:pPr>
        <w:rPr>
          <w:lang w:eastAsia="en-AU"/>
        </w:rPr>
      </w:pPr>
      <w:r w:rsidRPr="00147665">
        <w:rPr>
          <w:lang w:eastAsia="en-AU"/>
        </w:rPr>
        <w:t xml:space="preserve">In Gippsland, the following target groups have been identified and are the focus of GROW Gippsland activities: </w:t>
      </w:r>
    </w:p>
    <w:p w14:paraId="3911162D" w14:textId="77777777" w:rsidR="005C63C1" w:rsidRDefault="006159BB" w:rsidP="005C63C1">
      <w:pPr>
        <w:pStyle w:val="ListParagraph"/>
        <w:numPr>
          <w:ilvl w:val="0"/>
          <w:numId w:val="20"/>
        </w:numPr>
        <w:rPr>
          <w:lang w:eastAsia="en-AU"/>
        </w:rPr>
      </w:pPr>
      <w:r>
        <w:rPr>
          <w:lang w:eastAsia="en-AU"/>
        </w:rPr>
        <w:t>Y</w:t>
      </w:r>
      <w:r w:rsidR="00147665" w:rsidRPr="00147665">
        <w:rPr>
          <w:lang w:eastAsia="en-AU"/>
        </w:rPr>
        <w:t>oung people</w:t>
      </w:r>
    </w:p>
    <w:p w14:paraId="27969396" w14:textId="77777777" w:rsidR="005C63C1" w:rsidRDefault="006159BB" w:rsidP="005C63C1">
      <w:pPr>
        <w:pStyle w:val="ListParagraph"/>
        <w:numPr>
          <w:ilvl w:val="0"/>
          <w:numId w:val="20"/>
        </w:numPr>
        <w:rPr>
          <w:lang w:eastAsia="en-AU"/>
        </w:rPr>
      </w:pPr>
      <w:r>
        <w:rPr>
          <w:lang w:eastAsia="en-AU"/>
        </w:rPr>
        <w:t>T</w:t>
      </w:r>
      <w:r w:rsidR="00147665" w:rsidRPr="00147665">
        <w:rPr>
          <w:lang w:eastAsia="en-AU"/>
        </w:rPr>
        <w:t>ransitioning workers</w:t>
      </w:r>
    </w:p>
    <w:p w14:paraId="14280DA1" w14:textId="77777777" w:rsidR="005C63C1" w:rsidRDefault="00147665" w:rsidP="005C63C1">
      <w:pPr>
        <w:pStyle w:val="ListParagraph"/>
        <w:numPr>
          <w:ilvl w:val="0"/>
          <w:numId w:val="20"/>
        </w:numPr>
        <w:rPr>
          <w:lang w:eastAsia="en-AU"/>
        </w:rPr>
      </w:pPr>
      <w:r w:rsidRPr="00147665">
        <w:rPr>
          <w:lang w:eastAsia="en-AU"/>
        </w:rPr>
        <w:t>Aboriginal people</w:t>
      </w:r>
    </w:p>
    <w:p w14:paraId="3494B2EA" w14:textId="77777777" w:rsidR="005C63C1" w:rsidRDefault="006159BB" w:rsidP="005C63C1">
      <w:pPr>
        <w:pStyle w:val="ListParagraph"/>
        <w:numPr>
          <w:ilvl w:val="0"/>
          <w:numId w:val="20"/>
        </w:numPr>
        <w:rPr>
          <w:lang w:eastAsia="en-AU"/>
        </w:rPr>
      </w:pPr>
      <w:r>
        <w:rPr>
          <w:lang w:eastAsia="en-AU"/>
        </w:rPr>
        <w:t>P</w:t>
      </w:r>
      <w:r w:rsidR="00147665" w:rsidRPr="00147665">
        <w:rPr>
          <w:lang w:eastAsia="en-AU"/>
        </w:rPr>
        <w:t>eople with disability</w:t>
      </w:r>
    </w:p>
    <w:p w14:paraId="3481DCC1" w14:textId="6A0EEE89" w:rsidR="005C63C1" w:rsidRDefault="006159BB" w:rsidP="005C63C1">
      <w:pPr>
        <w:pStyle w:val="ListParagraph"/>
        <w:numPr>
          <w:ilvl w:val="0"/>
          <w:numId w:val="20"/>
        </w:numPr>
        <w:rPr>
          <w:lang w:eastAsia="en-AU"/>
        </w:rPr>
      </w:pPr>
      <w:r>
        <w:rPr>
          <w:lang w:eastAsia="en-AU"/>
        </w:rPr>
        <w:t>L</w:t>
      </w:r>
      <w:r w:rsidR="00147665" w:rsidRPr="00147665">
        <w:rPr>
          <w:lang w:eastAsia="en-AU"/>
        </w:rPr>
        <w:t>ong-term unemployed</w:t>
      </w:r>
      <w:r w:rsidR="005C63C1">
        <w:rPr>
          <w:lang w:eastAsia="en-AU"/>
        </w:rPr>
        <w:t>,</w:t>
      </w:r>
      <w:r>
        <w:rPr>
          <w:lang w:eastAsia="en-AU"/>
        </w:rPr>
        <w:t xml:space="preserve"> and</w:t>
      </w:r>
    </w:p>
    <w:p w14:paraId="72CB7D14" w14:textId="2B291DB1" w:rsidR="005C63C1" w:rsidRDefault="006159BB" w:rsidP="005C63C1">
      <w:pPr>
        <w:pStyle w:val="ListParagraph"/>
        <w:numPr>
          <w:ilvl w:val="0"/>
          <w:numId w:val="20"/>
        </w:numPr>
        <w:rPr>
          <w:lang w:eastAsia="en-AU"/>
        </w:rPr>
      </w:pPr>
      <w:r>
        <w:rPr>
          <w:lang w:eastAsia="en-AU"/>
        </w:rPr>
        <w:t>Culturally and Linguistically Diverse (CALD), New Migrant</w:t>
      </w:r>
      <w:r w:rsidR="008820BF">
        <w:rPr>
          <w:lang w:eastAsia="en-AU"/>
        </w:rPr>
        <w:t xml:space="preserve"> </w:t>
      </w:r>
      <w:r>
        <w:rPr>
          <w:lang w:eastAsia="en-AU"/>
        </w:rPr>
        <w:t xml:space="preserve">and </w:t>
      </w:r>
      <w:r w:rsidR="00147665" w:rsidRPr="00147665">
        <w:rPr>
          <w:lang w:eastAsia="en-AU"/>
        </w:rPr>
        <w:t>refugee</w:t>
      </w:r>
      <w:r w:rsidR="008820BF">
        <w:rPr>
          <w:lang w:eastAsia="en-AU"/>
        </w:rPr>
        <w:t xml:space="preserve"> population</w:t>
      </w:r>
      <w:r w:rsidR="00147665" w:rsidRPr="00147665">
        <w:rPr>
          <w:lang w:eastAsia="en-AU"/>
        </w:rPr>
        <w:t>.</w:t>
      </w:r>
    </w:p>
    <w:p w14:paraId="36464392" w14:textId="638B9927" w:rsidR="00147665" w:rsidRDefault="00147665" w:rsidP="00147665">
      <w:pPr>
        <w:rPr>
          <w:lang w:eastAsia="en-AU"/>
        </w:rPr>
      </w:pPr>
      <w:r w:rsidRPr="00147665">
        <w:rPr>
          <w:lang w:eastAsia="en-AU"/>
        </w:rPr>
        <w:t>If you are looking to employ people with barriers to work, GROW Gippsland provides access to resources, networks and support services to assist your business through the process.</w:t>
      </w:r>
      <w:r w:rsidR="00286451">
        <w:rPr>
          <w:lang w:eastAsia="en-AU"/>
        </w:rPr>
        <w:br/>
      </w:r>
    </w:p>
    <w:p w14:paraId="1943AD56" w14:textId="5CB63716" w:rsidR="00286451" w:rsidRPr="00962C54" w:rsidRDefault="00286451" w:rsidP="002002FB">
      <w:pPr>
        <w:pStyle w:val="Heading3"/>
        <w:rPr>
          <w:b/>
          <w:bCs/>
          <w:lang w:eastAsia="en-AU"/>
        </w:rPr>
      </w:pPr>
      <w:r w:rsidRPr="00962C54">
        <w:rPr>
          <w:b/>
          <w:bCs/>
          <w:lang w:eastAsia="en-AU"/>
        </w:rPr>
        <w:t>What is Inclusive Employment?</w:t>
      </w:r>
      <w:r w:rsidR="002002FB" w:rsidRPr="00962C54">
        <w:rPr>
          <w:b/>
          <w:bCs/>
          <w:lang w:eastAsia="en-AU"/>
        </w:rPr>
        <w:br/>
      </w:r>
    </w:p>
    <w:p w14:paraId="3A0E0075" w14:textId="77777777" w:rsidR="00AE266C" w:rsidRDefault="00AE266C" w:rsidP="00AE266C">
      <w:pPr>
        <w:rPr>
          <w:lang w:eastAsia="en-AU"/>
        </w:rPr>
      </w:pPr>
      <w:r w:rsidRPr="00AE266C">
        <w:rPr>
          <w:lang w:eastAsia="en-AU"/>
        </w:rPr>
        <w:t xml:space="preserve">‘Inclusive Employment’ can be defined as all efforts that promote fair and equitable access to decent employment, ensuring satisfactory pay and conditions, career prospects and opportunities for social integration (BSL 2015). </w:t>
      </w:r>
    </w:p>
    <w:p w14:paraId="569D1C2F" w14:textId="6D8628A7" w:rsidR="00AE266C" w:rsidRPr="00AE266C" w:rsidRDefault="00AE266C" w:rsidP="00AE266C">
      <w:pPr>
        <w:rPr>
          <w:lang w:eastAsia="en-AU"/>
        </w:rPr>
      </w:pPr>
      <w:r w:rsidRPr="00AE266C">
        <w:rPr>
          <w:lang w:eastAsia="en-AU"/>
        </w:rPr>
        <w:t>For GROW Gippsland this means actively setting and meeting targets for employing disadvantaged jobseekers.</w:t>
      </w:r>
      <w:r w:rsidR="002002FB">
        <w:rPr>
          <w:lang w:eastAsia="en-AU"/>
        </w:rPr>
        <w:br/>
      </w:r>
    </w:p>
    <w:p w14:paraId="62EA5925" w14:textId="77777777" w:rsidR="0057497F" w:rsidRDefault="00147665" w:rsidP="0057497F">
      <w:pPr>
        <w:rPr>
          <w:lang w:eastAsia="en-AU"/>
        </w:rPr>
      </w:pPr>
      <w:r w:rsidRPr="00962C54">
        <w:rPr>
          <w:rStyle w:val="Heading3Char"/>
          <w:b/>
          <w:bCs/>
        </w:rPr>
        <w:t>How Does Inclusive Employment Relate to the Victorian Government’s Social Procurement Framework</w:t>
      </w:r>
      <w:r w:rsidR="0057497F" w:rsidRPr="00962C54">
        <w:rPr>
          <w:rStyle w:val="Heading3Char"/>
          <w:b/>
          <w:bCs/>
        </w:rPr>
        <w:t xml:space="preserve"> </w:t>
      </w:r>
      <w:r w:rsidRPr="00962C54">
        <w:rPr>
          <w:rStyle w:val="Heading3Char"/>
          <w:b/>
          <w:bCs/>
        </w:rPr>
        <w:t>?</w:t>
      </w:r>
      <w:r w:rsidR="0057497F" w:rsidRPr="00962C54">
        <w:rPr>
          <w:rStyle w:val="Heading3Char"/>
          <w:b/>
          <w:bCs/>
        </w:rPr>
        <w:br/>
      </w:r>
      <w:r w:rsidRPr="002002FB">
        <w:rPr>
          <w:rStyle w:val="Heading3Char"/>
        </w:rPr>
        <w:br/>
      </w:r>
      <w:r w:rsidRPr="0057497F">
        <w:rPr>
          <w:lang w:eastAsia="en-AU"/>
        </w:rPr>
        <w:t xml:space="preserve">The Victorian Government has established Victoria’s Social Procurement Framework (SPF), that applies to the procurement of all goods, services and construction by, or on behalf of, Victorian Government departments and agencies from 1 September 2018. Under the SPF, inclusive employment is when suppliers provide direct employment for disadvantaged Victorians. </w:t>
      </w:r>
    </w:p>
    <w:p w14:paraId="17EFD794" w14:textId="472B5ADC" w:rsidR="00147665" w:rsidRPr="0057497F" w:rsidRDefault="0057497F" w:rsidP="0057497F">
      <w:pPr>
        <w:rPr>
          <w:lang w:eastAsia="en-AU"/>
        </w:rPr>
      </w:pPr>
      <w:r w:rsidRPr="0057497F">
        <w:rPr>
          <w:lang w:eastAsia="en-AU"/>
        </w:rPr>
        <w:t>Paid employment builds confidence and self-esteem</w:t>
      </w:r>
      <w:r w:rsidR="009B045D">
        <w:rPr>
          <w:lang w:eastAsia="en-AU"/>
        </w:rPr>
        <w:t xml:space="preserve">; </w:t>
      </w:r>
      <w:r w:rsidR="00147665" w:rsidRPr="0057497F">
        <w:rPr>
          <w:lang w:eastAsia="en-AU"/>
        </w:rPr>
        <w:t>enables more independent and stable lifestyles and fosters social and community participation.</w:t>
      </w:r>
    </w:p>
    <w:p w14:paraId="6D353375" w14:textId="77777777" w:rsidR="00303B39" w:rsidRDefault="009B045D" w:rsidP="00303B39">
      <w:r>
        <w:rPr>
          <w:lang w:eastAsia="en-AU"/>
        </w:rPr>
        <w:t>From a whole of state perspective, t</w:t>
      </w:r>
      <w:r w:rsidR="00147665" w:rsidRPr="0057497F">
        <w:rPr>
          <w:lang w:eastAsia="en-AU"/>
        </w:rPr>
        <w:t>he SPF looks to suppliers to advance the following outcomes:</w:t>
      </w:r>
    </w:p>
    <w:p w14:paraId="20CA035A" w14:textId="77777777" w:rsidR="00303B39" w:rsidRDefault="00147665" w:rsidP="00303B39">
      <w:pPr>
        <w:pStyle w:val="ListParagraph"/>
        <w:numPr>
          <w:ilvl w:val="0"/>
          <w:numId w:val="21"/>
        </w:numPr>
      </w:pPr>
      <w:r w:rsidRPr="0057497F">
        <w:rPr>
          <w:lang w:eastAsia="en-AU"/>
        </w:rPr>
        <w:t xml:space="preserve">Employment of Victorian Aboriginal people and Victorians with </w:t>
      </w:r>
      <w:proofErr w:type="gramStart"/>
      <w:r w:rsidRPr="0057497F">
        <w:rPr>
          <w:lang w:eastAsia="en-AU"/>
        </w:rPr>
        <w:t>disability;</w:t>
      </w:r>
      <w:proofErr w:type="gramEnd"/>
    </w:p>
    <w:p w14:paraId="2EF3CD51" w14:textId="77777777" w:rsidR="00303B39" w:rsidRDefault="00147665" w:rsidP="00303B39">
      <w:pPr>
        <w:pStyle w:val="ListParagraph"/>
        <w:numPr>
          <w:ilvl w:val="0"/>
          <w:numId w:val="21"/>
        </w:numPr>
      </w:pPr>
      <w:r w:rsidRPr="0057497F">
        <w:rPr>
          <w:lang w:eastAsia="en-AU"/>
        </w:rPr>
        <w:t xml:space="preserve">Gender equality including greater opportunities for women in non-traditional or leadership roles, or support for at-risk </w:t>
      </w:r>
      <w:proofErr w:type="gramStart"/>
      <w:r w:rsidRPr="0057497F">
        <w:rPr>
          <w:lang w:eastAsia="en-AU"/>
        </w:rPr>
        <w:t>women;</w:t>
      </w:r>
      <w:proofErr w:type="gramEnd"/>
    </w:p>
    <w:p w14:paraId="375FD8D2" w14:textId="77777777" w:rsidR="00303B39" w:rsidRDefault="00147665" w:rsidP="00303B39">
      <w:pPr>
        <w:pStyle w:val="ListParagraph"/>
        <w:numPr>
          <w:ilvl w:val="0"/>
          <w:numId w:val="21"/>
        </w:numPr>
      </w:pPr>
      <w:r w:rsidRPr="0057497F">
        <w:rPr>
          <w:lang w:eastAsia="en-AU"/>
        </w:rPr>
        <w:t>Training and employment for long-term unemployed people, disengaged youth, single parents, migrants, refugees, workers in transition, and people in regions with entrenched disadvantage; and</w:t>
      </w:r>
    </w:p>
    <w:p w14:paraId="69F08B2B" w14:textId="730DC4E1" w:rsidR="00147665" w:rsidRDefault="00147665" w:rsidP="00303B39">
      <w:pPr>
        <w:pStyle w:val="ListParagraph"/>
        <w:numPr>
          <w:ilvl w:val="0"/>
          <w:numId w:val="21"/>
        </w:numPr>
      </w:pPr>
      <w:r w:rsidRPr="0057497F">
        <w:rPr>
          <w:lang w:eastAsia="en-AU"/>
        </w:rPr>
        <w:t>Sustainable regional economies and communities.</w:t>
      </w:r>
    </w:p>
    <w:p w14:paraId="35D85577" w14:textId="4778CDAF" w:rsidR="00960EE8" w:rsidRDefault="001D29F8" w:rsidP="00343E7C">
      <w:r>
        <w:lastRenderedPageBreak/>
        <w:t xml:space="preserve">In the Gippsland </w:t>
      </w:r>
      <w:proofErr w:type="gramStart"/>
      <w:r>
        <w:t>region</w:t>
      </w:r>
      <w:r w:rsidR="00960EE8">
        <w:t>;</w:t>
      </w:r>
      <w:proofErr w:type="gramEnd"/>
      <w:r w:rsidR="00960EE8">
        <w:t xml:space="preserve"> GROW</w:t>
      </w:r>
      <w:r w:rsidR="00343E7C">
        <w:t xml:space="preserve"> Gippsland</w:t>
      </w:r>
      <w:r w:rsidR="00960EE8">
        <w:t xml:space="preserve">’s </w:t>
      </w:r>
      <w:r w:rsidR="00343E7C">
        <w:t>primary activities support the following</w:t>
      </w:r>
      <w:r>
        <w:t xml:space="preserve"> </w:t>
      </w:r>
      <w:r w:rsidR="00E0142F">
        <w:t>groups with barriers to work</w:t>
      </w:r>
      <w:r w:rsidR="00960EE8">
        <w:t>:</w:t>
      </w:r>
    </w:p>
    <w:p w14:paraId="47537DB6" w14:textId="77777777" w:rsidR="00960EE8" w:rsidRDefault="00960EE8" w:rsidP="00960EE8">
      <w:pPr>
        <w:pStyle w:val="ListParagraph"/>
        <w:numPr>
          <w:ilvl w:val="0"/>
          <w:numId w:val="20"/>
        </w:numPr>
        <w:rPr>
          <w:lang w:eastAsia="en-AU"/>
        </w:rPr>
      </w:pPr>
      <w:r>
        <w:rPr>
          <w:lang w:eastAsia="en-AU"/>
        </w:rPr>
        <w:t>Y</w:t>
      </w:r>
      <w:r w:rsidRPr="00147665">
        <w:rPr>
          <w:lang w:eastAsia="en-AU"/>
        </w:rPr>
        <w:t>oung people</w:t>
      </w:r>
    </w:p>
    <w:p w14:paraId="690A93E5" w14:textId="77777777" w:rsidR="00960EE8" w:rsidRDefault="00960EE8" w:rsidP="00960EE8">
      <w:pPr>
        <w:pStyle w:val="ListParagraph"/>
        <w:numPr>
          <w:ilvl w:val="0"/>
          <w:numId w:val="20"/>
        </w:numPr>
        <w:rPr>
          <w:lang w:eastAsia="en-AU"/>
        </w:rPr>
      </w:pPr>
      <w:r>
        <w:rPr>
          <w:lang w:eastAsia="en-AU"/>
        </w:rPr>
        <w:t>T</w:t>
      </w:r>
      <w:r w:rsidRPr="00147665">
        <w:rPr>
          <w:lang w:eastAsia="en-AU"/>
        </w:rPr>
        <w:t>ransitioning workers</w:t>
      </w:r>
    </w:p>
    <w:p w14:paraId="55D89DCB" w14:textId="77777777" w:rsidR="00960EE8" w:rsidRDefault="00960EE8" w:rsidP="00960EE8">
      <w:pPr>
        <w:pStyle w:val="ListParagraph"/>
        <w:numPr>
          <w:ilvl w:val="0"/>
          <w:numId w:val="20"/>
        </w:numPr>
        <w:rPr>
          <w:lang w:eastAsia="en-AU"/>
        </w:rPr>
      </w:pPr>
      <w:r w:rsidRPr="00147665">
        <w:rPr>
          <w:lang w:eastAsia="en-AU"/>
        </w:rPr>
        <w:t>Aboriginal people</w:t>
      </w:r>
    </w:p>
    <w:p w14:paraId="722A5A45" w14:textId="77777777" w:rsidR="00960EE8" w:rsidRDefault="00960EE8" w:rsidP="00960EE8">
      <w:pPr>
        <w:pStyle w:val="ListParagraph"/>
        <w:numPr>
          <w:ilvl w:val="0"/>
          <w:numId w:val="20"/>
        </w:numPr>
        <w:rPr>
          <w:lang w:eastAsia="en-AU"/>
        </w:rPr>
      </w:pPr>
      <w:r>
        <w:rPr>
          <w:lang w:eastAsia="en-AU"/>
        </w:rPr>
        <w:t>P</w:t>
      </w:r>
      <w:r w:rsidRPr="00147665">
        <w:rPr>
          <w:lang w:eastAsia="en-AU"/>
        </w:rPr>
        <w:t>eople with disability</w:t>
      </w:r>
    </w:p>
    <w:p w14:paraId="5DD60DFD" w14:textId="77777777" w:rsidR="00960EE8" w:rsidRDefault="00960EE8" w:rsidP="00960EE8">
      <w:pPr>
        <w:pStyle w:val="ListParagraph"/>
        <w:numPr>
          <w:ilvl w:val="0"/>
          <w:numId w:val="20"/>
        </w:numPr>
        <w:rPr>
          <w:lang w:eastAsia="en-AU"/>
        </w:rPr>
      </w:pPr>
      <w:r>
        <w:rPr>
          <w:lang w:eastAsia="en-AU"/>
        </w:rPr>
        <w:t>L</w:t>
      </w:r>
      <w:r w:rsidRPr="00147665">
        <w:rPr>
          <w:lang w:eastAsia="en-AU"/>
        </w:rPr>
        <w:t>ong-term unemployed</w:t>
      </w:r>
      <w:r>
        <w:rPr>
          <w:lang w:eastAsia="en-AU"/>
        </w:rPr>
        <w:t>, and</w:t>
      </w:r>
    </w:p>
    <w:p w14:paraId="77E385BD" w14:textId="77777777" w:rsidR="00960EE8" w:rsidRDefault="00960EE8" w:rsidP="00960EE8">
      <w:pPr>
        <w:pStyle w:val="ListParagraph"/>
        <w:numPr>
          <w:ilvl w:val="0"/>
          <w:numId w:val="20"/>
        </w:numPr>
        <w:rPr>
          <w:lang w:eastAsia="en-AU"/>
        </w:rPr>
      </w:pPr>
      <w:r>
        <w:rPr>
          <w:lang w:eastAsia="en-AU"/>
        </w:rPr>
        <w:t xml:space="preserve">Culturally and Linguistically Diverse (CALD), New Migrant and </w:t>
      </w:r>
      <w:r w:rsidRPr="00147665">
        <w:rPr>
          <w:lang w:eastAsia="en-AU"/>
        </w:rPr>
        <w:t>refugee</w:t>
      </w:r>
      <w:r>
        <w:rPr>
          <w:lang w:eastAsia="en-AU"/>
        </w:rPr>
        <w:t xml:space="preserve"> population</w:t>
      </w:r>
      <w:r w:rsidRPr="00147665">
        <w:rPr>
          <w:lang w:eastAsia="en-AU"/>
        </w:rPr>
        <w:t>.</w:t>
      </w:r>
    </w:p>
    <w:p w14:paraId="6ADCCA79" w14:textId="27CE712B" w:rsidR="0057497F" w:rsidRDefault="00C852C6" w:rsidP="0057497F">
      <w:pPr>
        <w:pStyle w:val="NormalWeb"/>
        <w:spacing w:before="0" w:beforeAutospacing="0" w:after="150" w:afterAutospacing="0"/>
      </w:pPr>
      <w:r>
        <w:t xml:space="preserve"> </w:t>
      </w:r>
    </w:p>
    <w:p w14:paraId="3C04AA55" w14:textId="4A3F2705" w:rsidR="007F164C" w:rsidRDefault="00147665" w:rsidP="007F164C">
      <w:pPr>
        <w:pStyle w:val="Heading2"/>
        <w:rPr>
          <w:rFonts w:eastAsiaTheme="minorHAnsi"/>
          <w:lang w:eastAsia="en-AU"/>
        </w:rPr>
      </w:pPr>
      <w:r w:rsidRPr="00AC7505">
        <w:rPr>
          <w:rFonts w:eastAsiaTheme="minorHAnsi"/>
          <w:lang w:eastAsia="en-AU"/>
        </w:rPr>
        <w:t xml:space="preserve">For more information on how Inclusive Employment relates to the Social Procurement Framework, </w:t>
      </w:r>
      <w:r w:rsidRPr="00BB080F">
        <w:rPr>
          <w:rFonts w:eastAsiaTheme="minorHAnsi"/>
          <w:b/>
          <w:bCs/>
          <w:lang w:eastAsia="en-AU"/>
        </w:rPr>
        <w:t xml:space="preserve">download the </w:t>
      </w:r>
      <w:hyperlink r:id="rId9" w:history="1">
        <w:r w:rsidRPr="00BB080F">
          <w:rPr>
            <w:b/>
            <w:bCs/>
          </w:rPr>
          <w:t>Victorian Government’s Social Procurement Framework Supplier Inclusive Employment Fact Sheet</w:t>
        </w:r>
      </w:hyperlink>
      <w:r w:rsidR="007F164C" w:rsidRPr="007F164C">
        <w:t xml:space="preserve"> here: </w:t>
      </w:r>
      <w:hyperlink r:id="rId10" w:history="1">
        <w:r w:rsidR="007F164C" w:rsidRPr="00072556">
          <w:rPr>
            <w:rStyle w:val="Hyperlink"/>
            <w:rFonts w:eastAsiaTheme="minorHAnsi"/>
            <w:lang w:eastAsia="en-AU"/>
          </w:rPr>
          <w:t>https://buyingfor.vic.gov.au/sites/default/files/2018-09/inclusive_employment_2018.pdf</w:t>
        </w:r>
      </w:hyperlink>
    </w:p>
    <w:p w14:paraId="75CBCE1E" w14:textId="77777777" w:rsidR="007F164C" w:rsidRDefault="007F164C" w:rsidP="007F164C">
      <w:pPr>
        <w:pStyle w:val="Heading2"/>
        <w:rPr>
          <w:rFonts w:eastAsiaTheme="minorHAnsi"/>
          <w:lang w:eastAsia="en-AU"/>
        </w:rPr>
      </w:pPr>
    </w:p>
    <w:p w14:paraId="508E9F2E" w14:textId="0A7D872C" w:rsidR="007F164C" w:rsidRDefault="007F164C" w:rsidP="007F164C"/>
    <w:p w14:paraId="0CB76633" w14:textId="77777777" w:rsidR="007F164C" w:rsidRPr="007F164C" w:rsidRDefault="007F164C" w:rsidP="007F164C"/>
    <w:sectPr w:rsidR="007F164C" w:rsidRPr="007F164C" w:rsidSect="00D2068E">
      <w:headerReference w:type="default" r:id="rId11"/>
      <w:footerReference w:type="default" r:id="rId12"/>
      <w:headerReference w:type="firs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17A8E" w14:textId="77777777" w:rsidR="007637C2" w:rsidRDefault="007637C2" w:rsidP="00CD1C3C">
      <w:pPr>
        <w:spacing w:after="0" w:line="240" w:lineRule="auto"/>
      </w:pPr>
      <w:r>
        <w:separator/>
      </w:r>
    </w:p>
  </w:endnote>
  <w:endnote w:type="continuationSeparator" w:id="0">
    <w:p w14:paraId="5537FEB6" w14:textId="77777777" w:rsidR="007637C2" w:rsidRDefault="007637C2" w:rsidP="00CD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406315"/>
      <w:docPartObj>
        <w:docPartGallery w:val="Page Numbers (Bottom of Page)"/>
        <w:docPartUnique/>
      </w:docPartObj>
    </w:sdtPr>
    <w:sdtEndPr>
      <w:rPr>
        <w:color w:val="7F7F7F" w:themeColor="background1" w:themeShade="7F"/>
        <w:spacing w:val="60"/>
      </w:rPr>
    </w:sdtEndPr>
    <w:sdtContent>
      <w:p w14:paraId="7B0CAA62" w14:textId="2B9DBA63" w:rsidR="00F1797C" w:rsidRPr="00FF0379" w:rsidRDefault="00FF0379" w:rsidP="00FF0379">
        <w:pPr>
          <w:rPr>
            <w:color w:val="7F7F7F" w:themeColor="background1" w:themeShade="7F"/>
            <w:spacing w:val="60"/>
          </w:rPr>
        </w:pPr>
        <w:r>
          <w:fldChar w:fldCharType="begin"/>
        </w:r>
        <w:r>
          <w:instrText xml:space="preserve"> PAGE   \* MERGEFORMAT </w:instrText>
        </w:r>
        <w:r>
          <w:fldChar w:fldCharType="separate"/>
        </w:r>
        <w:r>
          <w:t>1</w:t>
        </w:r>
        <w:r>
          <w:rPr>
            <w:b/>
            <w:bCs/>
            <w:noProof/>
          </w:rPr>
          <w:fldChar w:fldCharType="end"/>
        </w:r>
        <w:r>
          <w:rPr>
            <w:b/>
            <w:bCs/>
          </w:rPr>
          <w:t xml:space="preserve"> | </w:t>
        </w:r>
        <w:r w:rsidRPr="00F84273">
          <w:rPr>
            <w:color w:val="7F7F7F" w:themeColor="background1" w:themeShade="7F"/>
          </w:rPr>
          <w:t xml:space="preserve">The GROW Gippsland </w:t>
        </w:r>
        <w:r w:rsidR="00BC6AEB">
          <w:rPr>
            <w:color w:val="7F7F7F" w:themeColor="background1" w:themeShade="7F"/>
          </w:rPr>
          <w:t xml:space="preserve">Inclusive Employment </w:t>
        </w:r>
        <w:r w:rsidRPr="00F84273">
          <w:rPr>
            <w:color w:val="7F7F7F" w:themeColor="background1" w:themeShade="7F"/>
          </w:rPr>
          <w:t>Toolkit was created with funding from the Victorian Government</w:t>
        </w:r>
        <w:r w:rsidR="0072126F">
          <w:rPr>
            <w:color w:val="7F7F7F" w:themeColor="background1" w:themeShade="7F"/>
          </w:rPr>
          <w:t xml:space="preserve"> – V1.0 </w:t>
        </w:r>
        <w:r w:rsidR="00962C54">
          <w:rPr>
            <w:color w:val="7F7F7F" w:themeColor="background1" w:themeShade="7F"/>
          </w:rPr>
          <w:t>20</w:t>
        </w:r>
        <w:r w:rsidR="0072126F">
          <w:rPr>
            <w:color w:val="7F7F7F" w:themeColor="background1" w:themeShade="7F"/>
          </w:rPr>
          <w:t>/01/2020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95B1F" w14:textId="77777777" w:rsidR="007637C2" w:rsidRDefault="007637C2" w:rsidP="00CD1C3C">
      <w:pPr>
        <w:spacing w:after="0" w:line="240" w:lineRule="auto"/>
      </w:pPr>
      <w:r>
        <w:separator/>
      </w:r>
    </w:p>
  </w:footnote>
  <w:footnote w:type="continuationSeparator" w:id="0">
    <w:p w14:paraId="43F9B08D" w14:textId="77777777" w:rsidR="007637C2" w:rsidRDefault="007637C2" w:rsidP="00CD1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E317A" w14:textId="5DE7F986" w:rsidR="00F1797C" w:rsidRDefault="00F1797C" w:rsidP="00712AC8">
    <w:pPr>
      <w:pStyle w:val="Header"/>
      <w:jc w:val="right"/>
    </w:pPr>
    <w:r>
      <w:rPr>
        <w:noProof/>
      </w:rPr>
      <w:drawing>
        <wp:inline distT="0" distB="0" distL="0" distR="0" wp14:anchorId="6732946C" wp14:editId="398757A1">
          <wp:extent cx="1583128" cy="54530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214" cy="553604"/>
                  </a:xfrm>
                  <a:prstGeom prst="rect">
                    <a:avLst/>
                  </a:prstGeom>
                  <a:noFill/>
                  <a:ln>
                    <a:noFill/>
                  </a:ln>
                </pic:spPr>
              </pic:pic>
            </a:graphicData>
          </a:graphic>
        </wp:inline>
      </w:drawing>
    </w:r>
  </w:p>
  <w:p w14:paraId="2C3C2CD8" w14:textId="77777777" w:rsidR="00F1797C" w:rsidRDefault="00F1797C" w:rsidP="00712AC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E7002" w14:textId="77777777" w:rsidR="00D2068E" w:rsidRDefault="00D2068E" w:rsidP="00D2068E">
    <w:pPr>
      <w:pStyle w:val="Header"/>
      <w:spacing w:before="100" w:beforeAut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056FE"/>
    <w:multiLevelType w:val="multilevel"/>
    <w:tmpl w:val="36B0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05E1E"/>
    <w:multiLevelType w:val="hybridMultilevel"/>
    <w:tmpl w:val="DD78C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B3924"/>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EF7556E"/>
    <w:multiLevelType w:val="hybridMultilevel"/>
    <w:tmpl w:val="2D42A25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D917191"/>
    <w:multiLevelType w:val="hybridMultilevel"/>
    <w:tmpl w:val="449466B4"/>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1DC67866"/>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FA9544A"/>
    <w:multiLevelType w:val="hybridMultilevel"/>
    <w:tmpl w:val="B99E6DB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258F077A"/>
    <w:multiLevelType w:val="hybridMultilevel"/>
    <w:tmpl w:val="FA24B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B879E6"/>
    <w:multiLevelType w:val="hybridMultilevel"/>
    <w:tmpl w:val="9CA28E74"/>
    <w:lvl w:ilvl="0" w:tplc="8A66DD4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F81D58"/>
    <w:multiLevelType w:val="hybridMultilevel"/>
    <w:tmpl w:val="C5E8D1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C965A55"/>
    <w:multiLevelType w:val="hybridMultilevel"/>
    <w:tmpl w:val="6854FD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427175"/>
    <w:multiLevelType w:val="hybridMultilevel"/>
    <w:tmpl w:val="BB94C7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4C42B07"/>
    <w:multiLevelType w:val="hybridMultilevel"/>
    <w:tmpl w:val="D2163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E4768E"/>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AB6DE6"/>
    <w:multiLevelType w:val="hybridMultilevel"/>
    <w:tmpl w:val="D97AA56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5A3E477B"/>
    <w:multiLevelType w:val="hybridMultilevel"/>
    <w:tmpl w:val="20DAC87C"/>
    <w:lvl w:ilvl="0" w:tplc="DA94DED8">
      <w:start w:val="1"/>
      <w:numFmt w:val="lowerRoman"/>
      <w:lvlText w:val="%1."/>
      <w:lvlJc w:val="left"/>
      <w:pPr>
        <w:ind w:left="720" w:hanging="360"/>
      </w:pPr>
      <w:rPr>
        <w:rFonts w:hint="default"/>
      </w:rPr>
    </w:lvl>
    <w:lvl w:ilvl="1" w:tplc="DA94DED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536230"/>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D22A41"/>
    <w:multiLevelType w:val="hybridMultilevel"/>
    <w:tmpl w:val="34F068BA"/>
    <w:lvl w:ilvl="0" w:tplc="DA94DED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41D62980">
      <w:start w:val="1"/>
      <w:numFmt w:val="decimal"/>
      <w:lvlText w:val="%4."/>
      <w:lvlJc w:val="left"/>
      <w:pPr>
        <w:ind w:left="2880" w:hanging="360"/>
      </w:pPr>
      <w:rPr>
        <w:b w:val="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0177E81"/>
    <w:multiLevelType w:val="hybridMultilevel"/>
    <w:tmpl w:val="D99CB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4E5E88"/>
    <w:multiLevelType w:val="hybridMultilevel"/>
    <w:tmpl w:val="A044D55E"/>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6BA0F25"/>
    <w:multiLevelType w:val="hybridMultilevel"/>
    <w:tmpl w:val="7112442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7"/>
  </w:num>
  <w:num w:numId="2">
    <w:abstractNumId w:val="15"/>
  </w:num>
  <w:num w:numId="3">
    <w:abstractNumId w:val="11"/>
  </w:num>
  <w:num w:numId="4">
    <w:abstractNumId w:val="7"/>
  </w:num>
  <w:num w:numId="5">
    <w:abstractNumId w:val="13"/>
  </w:num>
  <w:num w:numId="6">
    <w:abstractNumId w:val="5"/>
  </w:num>
  <w:num w:numId="7">
    <w:abstractNumId w:val="9"/>
  </w:num>
  <w:num w:numId="8">
    <w:abstractNumId w:val="8"/>
  </w:num>
  <w:num w:numId="9">
    <w:abstractNumId w:val="4"/>
  </w:num>
  <w:num w:numId="10">
    <w:abstractNumId w:val="3"/>
  </w:num>
  <w:num w:numId="11">
    <w:abstractNumId w:val="19"/>
  </w:num>
  <w:num w:numId="12">
    <w:abstractNumId w:val="2"/>
  </w:num>
  <w:num w:numId="13">
    <w:abstractNumId w:val="10"/>
  </w:num>
  <w:num w:numId="14">
    <w:abstractNumId w:val="16"/>
  </w:num>
  <w:num w:numId="15">
    <w:abstractNumId w:val="14"/>
  </w:num>
  <w:num w:numId="16">
    <w:abstractNumId w:val="6"/>
  </w:num>
  <w:num w:numId="17">
    <w:abstractNumId w:val="20"/>
  </w:num>
  <w:num w:numId="18">
    <w:abstractNumId w:val="0"/>
  </w:num>
  <w:num w:numId="19">
    <w:abstractNumId w:val="1"/>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D63"/>
    <w:rsid w:val="00003DE1"/>
    <w:rsid w:val="00004779"/>
    <w:rsid w:val="000052F5"/>
    <w:rsid w:val="000323EF"/>
    <w:rsid w:val="000519E1"/>
    <w:rsid w:val="00057C0A"/>
    <w:rsid w:val="000668B7"/>
    <w:rsid w:val="0008541C"/>
    <w:rsid w:val="00094B05"/>
    <w:rsid w:val="000E1C59"/>
    <w:rsid w:val="00107954"/>
    <w:rsid w:val="0012396D"/>
    <w:rsid w:val="00127972"/>
    <w:rsid w:val="00146570"/>
    <w:rsid w:val="00147665"/>
    <w:rsid w:val="001673C8"/>
    <w:rsid w:val="00167D32"/>
    <w:rsid w:val="001D29F8"/>
    <w:rsid w:val="001E56F8"/>
    <w:rsid w:val="002002FB"/>
    <w:rsid w:val="00232D12"/>
    <w:rsid w:val="00260D8C"/>
    <w:rsid w:val="00270809"/>
    <w:rsid w:val="0027353B"/>
    <w:rsid w:val="002838C1"/>
    <w:rsid w:val="00286451"/>
    <w:rsid w:val="00293879"/>
    <w:rsid w:val="002B112F"/>
    <w:rsid w:val="002B2A5A"/>
    <w:rsid w:val="003029CF"/>
    <w:rsid w:val="00303B39"/>
    <w:rsid w:val="00303EBF"/>
    <w:rsid w:val="003208F9"/>
    <w:rsid w:val="00342E34"/>
    <w:rsid w:val="00343E7C"/>
    <w:rsid w:val="003A3013"/>
    <w:rsid w:val="003C45D3"/>
    <w:rsid w:val="003D76ED"/>
    <w:rsid w:val="003F3889"/>
    <w:rsid w:val="0040308F"/>
    <w:rsid w:val="00447B6B"/>
    <w:rsid w:val="00462CEE"/>
    <w:rsid w:val="00462D70"/>
    <w:rsid w:val="004747EC"/>
    <w:rsid w:val="00487DC8"/>
    <w:rsid w:val="004974DB"/>
    <w:rsid w:val="004C3AD2"/>
    <w:rsid w:val="004D0166"/>
    <w:rsid w:val="004D3E88"/>
    <w:rsid w:val="005043F3"/>
    <w:rsid w:val="0050641D"/>
    <w:rsid w:val="005067FD"/>
    <w:rsid w:val="00514C7F"/>
    <w:rsid w:val="00522373"/>
    <w:rsid w:val="00522BB5"/>
    <w:rsid w:val="0055334D"/>
    <w:rsid w:val="0057497F"/>
    <w:rsid w:val="00575F15"/>
    <w:rsid w:val="005932A1"/>
    <w:rsid w:val="00594123"/>
    <w:rsid w:val="0059734C"/>
    <w:rsid w:val="005B09B8"/>
    <w:rsid w:val="005C5AA0"/>
    <w:rsid w:val="005C63C1"/>
    <w:rsid w:val="00605F5A"/>
    <w:rsid w:val="006138C2"/>
    <w:rsid w:val="006159BB"/>
    <w:rsid w:val="00625C0E"/>
    <w:rsid w:val="006266FA"/>
    <w:rsid w:val="00630C65"/>
    <w:rsid w:val="006332BB"/>
    <w:rsid w:val="0065550F"/>
    <w:rsid w:val="00670947"/>
    <w:rsid w:val="00673859"/>
    <w:rsid w:val="0067422F"/>
    <w:rsid w:val="0067607F"/>
    <w:rsid w:val="006A0FD9"/>
    <w:rsid w:val="006A35F4"/>
    <w:rsid w:val="006A4A7A"/>
    <w:rsid w:val="006A4E18"/>
    <w:rsid w:val="006C0FC1"/>
    <w:rsid w:val="006C4717"/>
    <w:rsid w:val="006D7796"/>
    <w:rsid w:val="006F1CA6"/>
    <w:rsid w:val="00701013"/>
    <w:rsid w:val="00712AC8"/>
    <w:rsid w:val="0072126F"/>
    <w:rsid w:val="0073236A"/>
    <w:rsid w:val="00737601"/>
    <w:rsid w:val="00742EC9"/>
    <w:rsid w:val="00747A16"/>
    <w:rsid w:val="0075592B"/>
    <w:rsid w:val="007637C2"/>
    <w:rsid w:val="00771AC6"/>
    <w:rsid w:val="00791FB9"/>
    <w:rsid w:val="007B500E"/>
    <w:rsid w:val="007B7EC1"/>
    <w:rsid w:val="007E1B7D"/>
    <w:rsid w:val="007E440A"/>
    <w:rsid w:val="007F164C"/>
    <w:rsid w:val="00815D22"/>
    <w:rsid w:val="00856E1C"/>
    <w:rsid w:val="008627F9"/>
    <w:rsid w:val="00866D6D"/>
    <w:rsid w:val="008761CD"/>
    <w:rsid w:val="008820BF"/>
    <w:rsid w:val="008D4675"/>
    <w:rsid w:val="008F6B65"/>
    <w:rsid w:val="008F7392"/>
    <w:rsid w:val="0090450B"/>
    <w:rsid w:val="00925389"/>
    <w:rsid w:val="0095370D"/>
    <w:rsid w:val="00960EE8"/>
    <w:rsid w:val="00962C54"/>
    <w:rsid w:val="009647E2"/>
    <w:rsid w:val="00976E1A"/>
    <w:rsid w:val="009B045D"/>
    <w:rsid w:val="009D4CC5"/>
    <w:rsid w:val="00A21984"/>
    <w:rsid w:val="00A341D0"/>
    <w:rsid w:val="00A815BE"/>
    <w:rsid w:val="00A9195C"/>
    <w:rsid w:val="00A91FEF"/>
    <w:rsid w:val="00AA50BA"/>
    <w:rsid w:val="00AB7D87"/>
    <w:rsid w:val="00AC7505"/>
    <w:rsid w:val="00AE266C"/>
    <w:rsid w:val="00AE4E99"/>
    <w:rsid w:val="00AF032B"/>
    <w:rsid w:val="00AF1F6B"/>
    <w:rsid w:val="00B0201B"/>
    <w:rsid w:val="00B127DB"/>
    <w:rsid w:val="00B23CD0"/>
    <w:rsid w:val="00B37D25"/>
    <w:rsid w:val="00B47725"/>
    <w:rsid w:val="00B56009"/>
    <w:rsid w:val="00B77A68"/>
    <w:rsid w:val="00BB080F"/>
    <w:rsid w:val="00BB4BCC"/>
    <w:rsid w:val="00BC6AEB"/>
    <w:rsid w:val="00BC72BE"/>
    <w:rsid w:val="00BD76EC"/>
    <w:rsid w:val="00C117D1"/>
    <w:rsid w:val="00C42914"/>
    <w:rsid w:val="00C530EE"/>
    <w:rsid w:val="00C75597"/>
    <w:rsid w:val="00C80FEB"/>
    <w:rsid w:val="00C832CA"/>
    <w:rsid w:val="00C852C6"/>
    <w:rsid w:val="00C85685"/>
    <w:rsid w:val="00CA2A02"/>
    <w:rsid w:val="00CB7C22"/>
    <w:rsid w:val="00CD1C3C"/>
    <w:rsid w:val="00CE2523"/>
    <w:rsid w:val="00CE34EA"/>
    <w:rsid w:val="00D03C6A"/>
    <w:rsid w:val="00D2068E"/>
    <w:rsid w:val="00D36CBB"/>
    <w:rsid w:val="00DA3AE9"/>
    <w:rsid w:val="00DB4E8E"/>
    <w:rsid w:val="00DB79DD"/>
    <w:rsid w:val="00DC5B87"/>
    <w:rsid w:val="00DE4B86"/>
    <w:rsid w:val="00E0142F"/>
    <w:rsid w:val="00E13F91"/>
    <w:rsid w:val="00E16252"/>
    <w:rsid w:val="00E5257D"/>
    <w:rsid w:val="00E57014"/>
    <w:rsid w:val="00E90E36"/>
    <w:rsid w:val="00E96D63"/>
    <w:rsid w:val="00EA5F55"/>
    <w:rsid w:val="00EB6685"/>
    <w:rsid w:val="00ED1CD8"/>
    <w:rsid w:val="00F1797C"/>
    <w:rsid w:val="00F210E1"/>
    <w:rsid w:val="00F2652B"/>
    <w:rsid w:val="00F3005D"/>
    <w:rsid w:val="00F84DC5"/>
    <w:rsid w:val="00FA5A1E"/>
    <w:rsid w:val="00FB1207"/>
    <w:rsid w:val="00FC0A0B"/>
    <w:rsid w:val="00FE51E6"/>
    <w:rsid w:val="00FE62AA"/>
    <w:rsid w:val="00FE683D"/>
    <w:rsid w:val="00FF0379"/>
    <w:rsid w:val="00FF4DB9"/>
    <w:rsid w:val="00FF6A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86CC2"/>
  <w15:chartTrackingRefBased/>
  <w15:docId w15:val="{4B835475-7D2A-4C5A-8614-2AE3192A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41D"/>
    <w:pPr>
      <w:keepNext/>
      <w:keepLines/>
      <w:spacing w:before="240" w:after="0"/>
      <w:outlineLvl w:val="0"/>
    </w:pPr>
    <w:rPr>
      <w:rFonts w:asciiTheme="majorHAnsi" w:eastAsiaTheme="majorEastAsia" w:hAnsiTheme="majorHAnsi" w:cstheme="majorBidi"/>
      <w:color w:val="00635D" w:themeColor="accent1" w:themeShade="BF"/>
      <w:sz w:val="32"/>
      <w:szCs w:val="32"/>
    </w:rPr>
  </w:style>
  <w:style w:type="paragraph" w:styleId="Heading2">
    <w:name w:val="heading 2"/>
    <w:basedOn w:val="Normal"/>
    <w:next w:val="Normal"/>
    <w:link w:val="Heading2Char"/>
    <w:uiPriority w:val="9"/>
    <w:unhideWhenUsed/>
    <w:qFormat/>
    <w:rsid w:val="0050641D"/>
    <w:pPr>
      <w:keepNext/>
      <w:keepLines/>
      <w:spacing w:before="40" w:after="0"/>
      <w:outlineLvl w:val="1"/>
    </w:pPr>
    <w:rPr>
      <w:rFonts w:asciiTheme="majorHAnsi" w:eastAsiaTheme="majorEastAsia" w:hAnsiTheme="majorHAnsi" w:cstheme="majorBidi"/>
      <w:color w:val="00635D" w:themeColor="accent1" w:themeShade="BF"/>
      <w:sz w:val="26"/>
      <w:szCs w:val="26"/>
    </w:rPr>
  </w:style>
  <w:style w:type="paragraph" w:styleId="Heading3">
    <w:name w:val="heading 3"/>
    <w:basedOn w:val="Normal"/>
    <w:next w:val="Normal"/>
    <w:link w:val="Heading3Char"/>
    <w:uiPriority w:val="9"/>
    <w:unhideWhenUsed/>
    <w:qFormat/>
    <w:rsid w:val="0065550F"/>
    <w:pPr>
      <w:keepNext/>
      <w:keepLines/>
      <w:spacing w:before="40" w:after="0"/>
      <w:outlineLvl w:val="2"/>
    </w:pPr>
    <w:rPr>
      <w:rFonts w:asciiTheme="majorHAnsi" w:eastAsiaTheme="majorEastAsia" w:hAnsiTheme="majorHAnsi" w:cstheme="majorBidi"/>
      <w:color w:val="00423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D63"/>
    <w:pPr>
      <w:ind w:left="720"/>
      <w:contextualSpacing/>
    </w:pPr>
  </w:style>
  <w:style w:type="character" w:styleId="Hyperlink">
    <w:name w:val="Hyperlink"/>
    <w:basedOn w:val="DefaultParagraphFont"/>
    <w:uiPriority w:val="99"/>
    <w:unhideWhenUsed/>
    <w:rsid w:val="00057C0A"/>
    <w:rPr>
      <w:color w:val="0563C1" w:themeColor="hyperlink"/>
      <w:u w:val="single"/>
    </w:rPr>
  </w:style>
  <w:style w:type="character" w:styleId="UnresolvedMention">
    <w:name w:val="Unresolved Mention"/>
    <w:basedOn w:val="DefaultParagraphFont"/>
    <w:uiPriority w:val="99"/>
    <w:semiHidden/>
    <w:unhideWhenUsed/>
    <w:rsid w:val="00057C0A"/>
    <w:rPr>
      <w:color w:val="605E5C"/>
      <w:shd w:val="clear" w:color="auto" w:fill="E1DFDD"/>
    </w:rPr>
  </w:style>
  <w:style w:type="character" w:styleId="CommentReference">
    <w:name w:val="annotation reference"/>
    <w:basedOn w:val="DefaultParagraphFont"/>
    <w:uiPriority w:val="99"/>
    <w:semiHidden/>
    <w:unhideWhenUsed/>
    <w:rsid w:val="00A91FEF"/>
    <w:rPr>
      <w:sz w:val="16"/>
      <w:szCs w:val="16"/>
    </w:rPr>
  </w:style>
  <w:style w:type="paragraph" w:styleId="CommentText">
    <w:name w:val="annotation text"/>
    <w:basedOn w:val="Normal"/>
    <w:link w:val="CommentTextChar"/>
    <w:uiPriority w:val="99"/>
    <w:semiHidden/>
    <w:unhideWhenUsed/>
    <w:rsid w:val="00A91FEF"/>
    <w:pPr>
      <w:spacing w:line="240" w:lineRule="auto"/>
    </w:pPr>
    <w:rPr>
      <w:sz w:val="20"/>
      <w:szCs w:val="20"/>
    </w:rPr>
  </w:style>
  <w:style w:type="character" w:customStyle="1" w:styleId="CommentTextChar">
    <w:name w:val="Comment Text Char"/>
    <w:basedOn w:val="DefaultParagraphFont"/>
    <w:link w:val="CommentText"/>
    <w:uiPriority w:val="99"/>
    <w:semiHidden/>
    <w:rsid w:val="00A91FEF"/>
    <w:rPr>
      <w:sz w:val="20"/>
      <w:szCs w:val="20"/>
    </w:rPr>
  </w:style>
  <w:style w:type="paragraph" w:styleId="CommentSubject">
    <w:name w:val="annotation subject"/>
    <w:basedOn w:val="CommentText"/>
    <w:next w:val="CommentText"/>
    <w:link w:val="CommentSubjectChar"/>
    <w:uiPriority w:val="99"/>
    <w:semiHidden/>
    <w:unhideWhenUsed/>
    <w:rsid w:val="00A91FEF"/>
    <w:rPr>
      <w:b/>
      <w:bCs/>
    </w:rPr>
  </w:style>
  <w:style w:type="character" w:customStyle="1" w:styleId="CommentSubjectChar">
    <w:name w:val="Comment Subject Char"/>
    <w:basedOn w:val="CommentTextChar"/>
    <w:link w:val="CommentSubject"/>
    <w:uiPriority w:val="99"/>
    <w:semiHidden/>
    <w:rsid w:val="00A91FEF"/>
    <w:rPr>
      <w:b/>
      <w:bCs/>
      <w:sz w:val="20"/>
      <w:szCs w:val="20"/>
    </w:rPr>
  </w:style>
  <w:style w:type="paragraph" w:styleId="BalloonText">
    <w:name w:val="Balloon Text"/>
    <w:basedOn w:val="Normal"/>
    <w:link w:val="BalloonTextChar"/>
    <w:uiPriority w:val="99"/>
    <w:semiHidden/>
    <w:unhideWhenUsed/>
    <w:rsid w:val="00A9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FEF"/>
    <w:rPr>
      <w:rFonts w:ascii="Segoe UI" w:hAnsi="Segoe UI" w:cs="Segoe UI"/>
      <w:sz w:val="18"/>
      <w:szCs w:val="18"/>
    </w:rPr>
  </w:style>
  <w:style w:type="table" w:styleId="TableGrid">
    <w:name w:val="Table Grid"/>
    <w:basedOn w:val="TableNormal"/>
    <w:uiPriority w:val="39"/>
    <w:rsid w:val="00A34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derHeaderRedNumbersLevel1SectionC">
    <w:name w:val="Tender_HeaderRedNumbers_Level1_Section C"/>
    <w:basedOn w:val="Normal"/>
    <w:qFormat/>
    <w:rsid w:val="00232D12"/>
    <w:pPr>
      <w:tabs>
        <w:tab w:val="left" w:pos="709"/>
      </w:tabs>
      <w:spacing w:before="240" w:after="240" w:line="240" w:lineRule="auto"/>
      <w:ind w:left="993" w:hanging="709"/>
    </w:pPr>
    <w:rPr>
      <w:rFonts w:ascii="Arial" w:eastAsia="Times New Roman" w:hAnsi="Arial" w:cs="Times New Roman"/>
      <w:b/>
      <w:bCs/>
      <w:color w:val="E85100"/>
      <w:sz w:val="28"/>
      <w:szCs w:val="20"/>
      <w:lang w:eastAsia="en-AU"/>
    </w:rPr>
  </w:style>
  <w:style w:type="table" w:customStyle="1" w:styleId="TableGrid1">
    <w:name w:val="Table Grid1"/>
    <w:basedOn w:val="TableNormal"/>
    <w:next w:val="TableGrid"/>
    <w:uiPriority w:val="39"/>
    <w:rsid w:val="00522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C3C"/>
  </w:style>
  <w:style w:type="paragraph" w:styleId="Footer">
    <w:name w:val="footer"/>
    <w:basedOn w:val="Normal"/>
    <w:link w:val="FooterChar"/>
    <w:uiPriority w:val="99"/>
    <w:unhideWhenUsed/>
    <w:rsid w:val="00CD1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C3C"/>
  </w:style>
  <w:style w:type="paragraph" w:styleId="NormalWeb">
    <w:name w:val="Normal (Web)"/>
    <w:basedOn w:val="Normal"/>
    <w:uiPriority w:val="99"/>
    <w:unhideWhenUsed/>
    <w:rsid w:val="006A0FD9"/>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3C45D3"/>
    <w:pPr>
      <w:spacing w:after="0" w:line="240" w:lineRule="auto"/>
    </w:pPr>
  </w:style>
  <w:style w:type="paragraph" w:styleId="NoSpacing">
    <w:name w:val="No Spacing"/>
    <w:uiPriority w:val="1"/>
    <w:qFormat/>
    <w:rsid w:val="00D2068E"/>
    <w:pPr>
      <w:spacing w:after="0" w:line="240" w:lineRule="auto"/>
    </w:pPr>
    <w:rPr>
      <w:color w:val="43494E" w:themeColor="text2"/>
      <w:sz w:val="20"/>
      <w:szCs w:val="20"/>
      <w:lang w:val="en-US"/>
    </w:rPr>
  </w:style>
  <w:style w:type="character" w:customStyle="1" w:styleId="Heading1Char">
    <w:name w:val="Heading 1 Char"/>
    <w:basedOn w:val="DefaultParagraphFont"/>
    <w:link w:val="Heading1"/>
    <w:uiPriority w:val="9"/>
    <w:rsid w:val="0050641D"/>
    <w:rPr>
      <w:rFonts w:asciiTheme="majorHAnsi" w:eastAsiaTheme="majorEastAsia" w:hAnsiTheme="majorHAnsi" w:cstheme="majorBidi"/>
      <w:color w:val="00635D" w:themeColor="accent1" w:themeShade="BF"/>
      <w:sz w:val="32"/>
      <w:szCs w:val="32"/>
    </w:rPr>
  </w:style>
  <w:style w:type="character" w:customStyle="1" w:styleId="Heading2Char">
    <w:name w:val="Heading 2 Char"/>
    <w:basedOn w:val="DefaultParagraphFont"/>
    <w:link w:val="Heading2"/>
    <w:uiPriority w:val="9"/>
    <w:rsid w:val="0050641D"/>
    <w:rPr>
      <w:rFonts w:asciiTheme="majorHAnsi" w:eastAsiaTheme="majorEastAsia" w:hAnsiTheme="majorHAnsi" w:cstheme="majorBidi"/>
      <w:color w:val="00635D" w:themeColor="accent1" w:themeShade="BF"/>
      <w:sz w:val="26"/>
      <w:szCs w:val="26"/>
    </w:rPr>
  </w:style>
  <w:style w:type="paragraph" w:styleId="EndnoteText">
    <w:name w:val="endnote text"/>
    <w:basedOn w:val="Normal"/>
    <w:link w:val="EndnoteTextChar"/>
    <w:uiPriority w:val="99"/>
    <w:semiHidden/>
    <w:unhideWhenUsed/>
    <w:rsid w:val="00260D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0D8C"/>
    <w:rPr>
      <w:sz w:val="20"/>
      <w:szCs w:val="20"/>
    </w:rPr>
  </w:style>
  <w:style w:type="character" w:styleId="EndnoteReference">
    <w:name w:val="endnote reference"/>
    <w:basedOn w:val="DefaultParagraphFont"/>
    <w:uiPriority w:val="99"/>
    <w:semiHidden/>
    <w:unhideWhenUsed/>
    <w:rsid w:val="00260D8C"/>
    <w:rPr>
      <w:vertAlign w:val="superscript"/>
    </w:rPr>
  </w:style>
  <w:style w:type="character" w:styleId="Strong">
    <w:name w:val="Strong"/>
    <w:basedOn w:val="DefaultParagraphFont"/>
    <w:uiPriority w:val="22"/>
    <w:qFormat/>
    <w:rsid w:val="00147665"/>
    <w:rPr>
      <w:b/>
      <w:bCs/>
    </w:rPr>
  </w:style>
  <w:style w:type="character" w:customStyle="1" w:styleId="Heading3Char">
    <w:name w:val="Heading 3 Char"/>
    <w:basedOn w:val="DefaultParagraphFont"/>
    <w:link w:val="Heading3"/>
    <w:uiPriority w:val="9"/>
    <w:rsid w:val="0065550F"/>
    <w:rPr>
      <w:rFonts w:asciiTheme="majorHAnsi" w:eastAsiaTheme="majorEastAsia" w:hAnsiTheme="majorHAnsi" w:cstheme="majorBidi"/>
      <w:color w:val="00423E" w:themeColor="accent1" w:themeShade="7F"/>
      <w:sz w:val="24"/>
      <w:szCs w:val="24"/>
    </w:rPr>
  </w:style>
  <w:style w:type="character" w:styleId="FollowedHyperlink">
    <w:name w:val="FollowedHyperlink"/>
    <w:basedOn w:val="DefaultParagraphFont"/>
    <w:uiPriority w:val="99"/>
    <w:semiHidden/>
    <w:unhideWhenUsed/>
    <w:rsid w:val="00BB08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29436">
      <w:bodyDiv w:val="1"/>
      <w:marLeft w:val="0"/>
      <w:marRight w:val="0"/>
      <w:marTop w:val="0"/>
      <w:marBottom w:val="0"/>
      <w:divBdr>
        <w:top w:val="none" w:sz="0" w:space="0" w:color="auto"/>
        <w:left w:val="none" w:sz="0" w:space="0" w:color="auto"/>
        <w:bottom w:val="none" w:sz="0" w:space="0" w:color="auto"/>
        <w:right w:val="none" w:sz="0" w:space="0" w:color="auto"/>
      </w:divBdr>
    </w:div>
    <w:div w:id="1844659223">
      <w:bodyDiv w:val="1"/>
      <w:marLeft w:val="0"/>
      <w:marRight w:val="0"/>
      <w:marTop w:val="0"/>
      <w:marBottom w:val="0"/>
      <w:divBdr>
        <w:top w:val="none" w:sz="0" w:space="0" w:color="auto"/>
        <w:left w:val="none" w:sz="0" w:space="0" w:color="auto"/>
        <w:bottom w:val="none" w:sz="0" w:space="0" w:color="auto"/>
        <w:right w:val="none" w:sz="0" w:space="0" w:color="auto"/>
      </w:divBdr>
    </w:div>
    <w:div w:id="1868447535">
      <w:bodyDiv w:val="1"/>
      <w:marLeft w:val="0"/>
      <w:marRight w:val="0"/>
      <w:marTop w:val="0"/>
      <w:marBottom w:val="0"/>
      <w:divBdr>
        <w:top w:val="none" w:sz="0" w:space="0" w:color="auto"/>
        <w:left w:val="none" w:sz="0" w:space="0" w:color="auto"/>
        <w:bottom w:val="none" w:sz="0" w:space="0" w:color="auto"/>
        <w:right w:val="none" w:sz="0" w:space="0" w:color="auto"/>
      </w:divBdr>
    </w:div>
    <w:div w:id="209944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uyingfor.vic.gov.au/sites/default/files/2018-09/inclusive_employment_2018.pdf" TargetMode="External"/><Relationship Id="rId4" Type="http://schemas.openxmlformats.org/officeDocument/2006/relationships/settings" Target="settings.xml"/><Relationship Id="rId9" Type="http://schemas.openxmlformats.org/officeDocument/2006/relationships/hyperlink" Target="https://buyingfor.vic.gov.au/sites/default/files/2018-09/inclusive_employment_2018.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OW Gippsland Colours">
      <a:dk1>
        <a:sysClr val="windowText" lastClr="000000"/>
      </a:dk1>
      <a:lt1>
        <a:sysClr val="window" lastClr="FFFFFF"/>
      </a:lt1>
      <a:dk2>
        <a:srgbClr val="43494E"/>
      </a:dk2>
      <a:lt2>
        <a:srgbClr val="E7E6E6"/>
      </a:lt2>
      <a:accent1>
        <a:srgbClr val="00857E"/>
      </a:accent1>
      <a:accent2>
        <a:srgbClr val="83C865"/>
      </a:accent2>
      <a:accent3>
        <a:srgbClr val="A5A5A5"/>
      </a:accent3>
      <a:accent4>
        <a:srgbClr val="1DBECF"/>
      </a:accent4>
      <a:accent5>
        <a:srgbClr val="ED7D31"/>
      </a:accent5>
      <a:accent6>
        <a:srgbClr val="4454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5B531-5E50-4A90-89FA-001F1728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Mullally</dc:creator>
  <cp:keywords/>
  <dc:description/>
  <cp:lastModifiedBy>Makayla Rimington</cp:lastModifiedBy>
  <cp:revision>2</cp:revision>
  <dcterms:created xsi:type="dcterms:W3CDTF">2020-01-20T02:42:00Z</dcterms:created>
  <dcterms:modified xsi:type="dcterms:W3CDTF">2020-01-20T02:42:00Z</dcterms:modified>
</cp:coreProperties>
</file>